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4C" w:rsidRPr="00470DE8" w:rsidRDefault="00FB0A4C" w:rsidP="00FB0A4C">
      <w:pPr>
        <w:spacing w:line="360" w:lineRule="auto"/>
        <w:jc w:val="center"/>
        <w:rPr>
          <w:rFonts w:ascii="Times New Roman" w:hAnsi="Times New Roman" w:cs="Times New Roman"/>
          <w:b/>
          <w:sz w:val="24"/>
          <w:szCs w:val="24"/>
          <w:u w:val="single"/>
        </w:rPr>
      </w:pPr>
      <w:r>
        <w:rPr>
          <w:rFonts w:ascii="Times New Roman" w:hAnsi="Times New Roman" w:cs="Times New Roman"/>
          <w:b/>
          <w:sz w:val="28"/>
          <w:szCs w:val="24"/>
          <w:u w:val="single"/>
        </w:rPr>
        <w:t>Food and Clothing Support for 85</w:t>
      </w:r>
      <w:r w:rsidRPr="00470DE8">
        <w:rPr>
          <w:rFonts w:ascii="Times New Roman" w:hAnsi="Times New Roman" w:cs="Times New Roman"/>
          <w:b/>
          <w:sz w:val="28"/>
          <w:szCs w:val="24"/>
          <w:u w:val="single"/>
        </w:rPr>
        <w:t xml:space="preserve"> Bedridden PD Patients</w:t>
      </w:r>
    </w:p>
    <w:p w:rsidR="00FB0A4C" w:rsidRDefault="00FB0A4C" w:rsidP="00FB0A4C">
      <w:pPr>
        <w:pStyle w:val="NormalWeb"/>
        <w:spacing w:line="360" w:lineRule="auto"/>
        <w:jc w:val="both"/>
      </w:pPr>
      <w:bookmarkStart w:id="0" w:name="_GoBack"/>
      <w:bookmarkEnd w:id="0"/>
      <w:r>
        <w:t>World Parkinson Days serves as a poignant reminder of the challenges faced by individuals grappling with Parkinson's disease, a neurodegenerative disorder that profoundly impacts movement control. The observance highlights the importance of understanding and addressing the unique struggles faced by those affected by Parkinson's, particularly those who are bedridden and facing additional hardships such as food and clothing shortages.</w:t>
      </w:r>
    </w:p>
    <w:p w:rsidR="00FB0A4C" w:rsidRDefault="00FB0A4C" w:rsidP="00FB0A4C">
      <w:pPr>
        <w:pStyle w:val="NormalWeb"/>
        <w:spacing w:line="360" w:lineRule="auto"/>
        <w:jc w:val="both"/>
      </w:pPr>
      <w:r>
        <w:t>In Ethiopia, where the impact of Parkinson's is compounded by limited resources and access to basic necessities, the holiday season becomes a critical time to extend support to bedridden patients. The harsh conditions and the lack of essential items make it imperative to focus efforts on providing not only medical care but also on addressing the fundamental needs for sustenance and suitable clothing.</w:t>
      </w:r>
    </w:p>
    <w:p w:rsidR="00FB0A4C" w:rsidRDefault="00FB0A4C" w:rsidP="00FB0A4C">
      <w:pPr>
        <w:pStyle w:val="NormalWeb"/>
        <w:spacing w:line="360" w:lineRule="auto"/>
        <w:jc w:val="both"/>
      </w:pPr>
      <w:r>
        <w:t>For bedridden Parkinson's patients in Ethiopia, the absence of sufficient nourishing meals further exacerbates the challenges posed by the disease. Malnutrition weakens their immune systems, making them more vulnerable to the progression of Parkinson's symptoms. Additionally, the shortage of appropriate clothing intens</w:t>
      </w:r>
      <w:r>
        <w:t>ifies their physical discomfort</w:t>
      </w:r>
      <w:r>
        <w:t>. This shortage not only affects their physical well-being but also contributes to a sense of helplessness and isolation.</w:t>
      </w:r>
    </w:p>
    <w:p w:rsidR="00FB0A4C" w:rsidRDefault="00FB0A4C" w:rsidP="00FB0A4C">
      <w:pPr>
        <w:pStyle w:val="NormalWeb"/>
        <w:spacing w:line="360" w:lineRule="auto"/>
        <w:jc w:val="both"/>
      </w:pPr>
      <w:r>
        <w:t>Supporting these individuals during World Parkinson Days by addressing their food and clothing needs goes beyond meeting basic requirements. It becomes a source of comfort, dignity, and emotional well-being for bedridden Parkinson's patients. Adequate nutrition not only contributes to physical strength but also plays a vital role in managing health challenges associated with the disease. Furthermore, providing warm clothing ensures protection and comfort, promoting a sense of connection and care during the holiday season.</w:t>
      </w:r>
    </w:p>
    <w:p w:rsidR="00FB0A4C" w:rsidRDefault="00FB0A4C" w:rsidP="00FB0A4C">
      <w:pPr>
        <w:pStyle w:val="NormalWeb"/>
        <w:spacing w:line="360" w:lineRule="auto"/>
        <w:jc w:val="both"/>
      </w:pPr>
      <w:r>
        <w:t xml:space="preserve">The assistance provided during World Parkinson Days becomes a beacon of hope, empowering bedridden patients and positively impacting their mental and emotional health. By addressing immediate concerns and fostering a sense of community and support, this initiative contributes to the overall well-being of individuals facing the complexities of Parkinson's disease. Ultimately, extending a helping hand during this </w:t>
      </w:r>
      <w:r>
        <w:t>day</w:t>
      </w:r>
      <w:r>
        <w:t xml:space="preserve"> and beyond makes a meaningful difference in the lives </w:t>
      </w:r>
      <w:r>
        <w:lastRenderedPageBreak/>
        <w:t>of those affected by Parkinson's, reinforcing the spirit of compassion, understanding, and solidarity.</w:t>
      </w:r>
    </w:p>
    <w:p w:rsidR="00FB0A4C" w:rsidRPr="00651D91" w:rsidRDefault="00FB0A4C" w:rsidP="00FB0A4C">
      <w:pPr>
        <w:spacing w:line="360" w:lineRule="auto"/>
        <w:jc w:val="both"/>
        <w:rPr>
          <w:rFonts w:ascii="Times New Roman" w:hAnsi="Times New Roman" w:cs="Times New Roman"/>
          <w:sz w:val="28"/>
          <w:szCs w:val="24"/>
        </w:rPr>
      </w:pPr>
      <w:r w:rsidRPr="00651D91">
        <w:rPr>
          <w:rFonts w:ascii="Times New Roman" w:hAnsi="Times New Roman" w:cs="Times New Roman"/>
          <w:sz w:val="24"/>
        </w:rPr>
        <w:t>If you believe in the transformative power of small acts, your donation—whether it's a few Birr or dollars—can make a meaningful difference in supporting this project. Join us in making an impact by contributing through the Global Giving Website (</w:t>
      </w:r>
      <w:hyperlink r:id="rId5" w:tgtFrame="_new" w:history="1">
        <w:r w:rsidRPr="00651D91">
          <w:rPr>
            <w:rStyle w:val="Hyperlink"/>
            <w:rFonts w:ascii="Times New Roman" w:hAnsi="Times New Roman" w:cs="Times New Roman"/>
            <w:sz w:val="24"/>
          </w:rPr>
          <w:t>www.globalgiving.org</w:t>
        </w:r>
      </w:hyperlink>
      <w:r>
        <w:rPr>
          <w:rFonts w:ascii="Times New Roman" w:hAnsi="Times New Roman" w:cs="Times New Roman"/>
          <w:sz w:val="24"/>
        </w:rPr>
        <w:t>).</w:t>
      </w:r>
    </w:p>
    <w:p w:rsidR="00FB0A4C" w:rsidRPr="00651D91" w:rsidRDefault="00FB0A4C" w:rsidP="00FB0A4C">
      <w:pPr>
        <w:spacing w:line="360" w:lineRule="auto"/>
        <w:jc w:val="center"/>
        <w:rPr>
          <w:rFonts w:ascii="Times New Roman" w:hAnsi="Times New Roman" w:cs="Times New Roman"/>
          <w:sz w:val="24"/>
          <w:szCs w:val="24"/>
        </w:rPr>
      </w:pPr>
      <w:r w:rsidRPr="00651D91">
        <w:rPr>
          <w:rFonts w:ascii="Times New Roman" w:hAnsi="Times New Roman" w:cs="Times New Roman"/>
          <w:sz w:val="24"/>
          <w:szCs w:val="24"/>
        </w:rPr>
        <w:t>Or</w:t>
      </w:r>
    </w:p>
    <w:p w:rsidR="00FB0A4C" w:rsidRDefault="00FB0A4C" w:rsidP="00FB0A4C">
      <w:pPr>
        <w:spacing w:line="360" w:lineRule="auto"/>
        <w:jc w:val="both"/>
        <w:rPr>
          <w:rFonts w:ascii="Times New Roman" w:hAnsi="Times New Roman" w:cs="Times New Roman"/>
          <w:sz w:val="24"/>
          <w:szCs w:val="24"/>
        </w:rPr>
      </w:pPr>
      <w:r w:rsidRPr="00651D91">
        <w:rPr>
          <w:rFonts w:ascii="Times New Roman" w:hAnsi="Times New Roman" w:cs="Times New Roman"/>
          <w:sz w:val="24"/>
          <w:szCs w:val="24"/>
        </w:rPr>
        <w:t>Direct to our account information (</w:t>
      </w:r>
      <w:proofErr w:type="spellStart"/>
      <w:r w:rsidRPr="00651D91">
        <w:rPr>
          <w:rFonts w:ascii="Times New Roman" w:hAnsi="Times New Roman" w:cs="Times New Roman"/>
          <w:sz w:val="24"/>
          <w:szCs w:val="24"/>
        </w:rPr>
        <w:t>Dashen</w:t>
      </w:r>
      <w:proofErr w:type="spellEnd"/>
      <w:r w:rsidRPr="00651D91">
        <w:rPr>
          <w:rFonts w:ascii="Times New Roman" w:hAnsi="Times New Roman" w:cs="Times New Roman"/>
          <w:sz w:val="24"/>
          <w:szCs w:val="24"/>
        </w:rPr>
        <w:t xml:space="preserve"> Bank: C/A 5039781372002 and CBE: 1000002963462). If you would like to have a more personal connection with the project you are very welcome to contact the Founder </w:t>
      </w:r>
      <w:proofErr w:type="spellStart"/>
      <w:r w:rsidRPr="00651D91">
        <w:rPr>
          <w:rFonts w:ascii="Times New Roman" w:hAnsi="Times New Roman" w:cs="Times New Roman"/>
          <w:sz w:val="24"/>
          <w:szCs w:val="24"/>
        </w:rPr>
        <w:t>Kibra</w:t>
      </w:r>
      <w:proofErr w:type="spellEnd"/>
      <w:r w:rsidRPr="00651D91">
        <w:rPr>
          <w:rFonts w:ascii="Times New Roman" w:hAnsi="Times New Roman" w:cs="Times New Roman"/>
          <w:sz w:val="24"/>
          <w:szCs w:val="24"/>
        </w:rPr>
        <w:t xml:space="preserve"> </w:t>
      </w:r>
      <w:proofErr w:type="spellStart"/>
      <w:r w:rsidRPr="00651D91">
        <w:rPr>
          <w:rFonts w:ascii="Times New Roman" w:hAnsi="Times New Roman" w:cs="Times New Roman"/>
          <w:sz w:val="24"/>
          <w:szCs w:val="24"/>
        </w:rPr>
        <w:t>Kebede</w:t>
      </w:r>
      <w:proofErr w:type="spellEnd"/>
      <w:r w:rsidRPr="00651D91">
        <w:rPr>
          <w:rFonts w:ascii="Times New Roman" w:hAnsi="Times New Roman" w:cs="Times New Roman"/>
          <w:sz w:val="24"/>
          <w:szCs w:val="24"/>
        </w:rPr>
        <w:t xml:space="preserve"> (251-911-70-1362) &amp; the Director </w:t>
      </w:r>
      <w:proofErr w:type="spellStart"/>
      <w:r w:rsidRPr="00651D91">
        <w:rPr>
          <w:rFonts w:ascii="Times New Roman" w:hAnsi="Times New Roman" w:cs="Times New Roman"/>
          <w:sz w:val="24"/>
          <w:szCs w:val="24"/>
        </w:rPr>
        <w:t>Tsion</w:t>
      </w:r>
      <w:proofErr w:type="spellEnd"/>
      <w:r w:rsidRPr="00651D91">
        <w:rPr>
          <w:rFonts w:ascii="Times New Roman" w:hAnsi="Times New Roman" w:cs="Times New Roman"/>
          <w:sz w:val="24"/>
          <w:szCs w:val="24"/>
        </w:rPr>
        <w:t xml:space="preserve"> </w:t>
      </w:r>
      <w:proofErr w:type="spellStart"/>
      <w:r w:rsidRPr="00651D91">
        <w:rPr>
          <w:rFonts w:ascii="Times New Roman" w:hAnsi="Times New Roman" w:cs="Times New Roman"/>
          <w:sz w:val="24"/>
          <w:szCs w:val="24"/>
        </w:rPr>
        <w:t>Terefe</w:t>
      </w:r>
      <w:proofErr w:type="spellEnd"/>
      <w:r w:rsidRPr="00651D91">
        <w:rPr>
          <w:rFonts w:ascii="Times New Roman" w:hAnsi="Times New Roman" w:cs="Times New Roman"/>
          <w:sz w:val="24"/>
          <w:szCs w:val="24"/>
        </w:rPr>
        <w:t xml:space="preserve"> (251-912-23-0774).</w:t>
      </w:r>
    </w:p>
    <w:p w:rsidR="00FB0A4C" w:rsidRPr="00EC56A2" w:rsidRDefault="00FB0A4C" w:rsidP="00FB0A4C">
      <w:pPr>
        <w:spacing w:line="360" w:lineRule="auto"/>
        <w:jc w:val="both"/>
        <w:rPr>
          <w:rFonts w:ascii="Times New Roman" w:hAnsi="Times New Roman" w:cs="Times New Roman"/>
          <w:sz w:val="28"/>
          <w:szCs w:val="24"/>
        </w:rPr>
      </w:pPr>
    </w:p>
    <w:p w:rsidR="00FB0A4C" w:rsidRPr="00EC56A2" w:rsidRDefault="00FB0A4C" w:rsidP="00FB0A4C">
      <w:pPr>
        <w:jc w:val="center"/>
        <w:rPr>
          <w:rFonts w:ascii="Times New Roman" w:hAnsi="Times New Roman" w:cs="Times New Roman"/>
          <w:b/>
          <w:sz w:val="24"/>
          <w:u w:val="single"/>
        </w:rPr>
      </w:pPr>
      <w:r w:rsidRPr="00EC56A2">
        <w:rPr>
          <w:rFonts w:ascii="Times New Roman" w:hAnsi="Times New Roman" w:cs="Times New Roman"/>
          <w:b/>
          <w:sz w:val="24"/>
          <w:u w:val="single"/>
        </w:rPr>
        <w:t>Project Cost</w:t>
      </w:r>
    </w:p>
    <w:tbl>
      <w:tblPr>
        <w:tblStyle w:val="TableGrid"/>
        <w:tblW w:w="8138" w:type="dxa"/>
        <w:tblLook w:val="04A0" w:firstRow="1" w:lastRow="0" w:firstColumn="1" w:lastColumn="0" w:noHBand="0" w:noVBand="1"/>
      </w:tblPr>
      <w:tblGrid>
        <w:gridCol w:w="638"/>
        <w:gridCol w:w="5320"/>
        <w:gridCol w:w="763"/>
        <w:gridCol w:w="1417"/>
      </w:tblGrid>
      <w:tr w:rsidR="00FB0A4C" w:rsidRPr="00EC56A2" w:rsidTr="00A720AB">
        <w:tc>
          <w:tcPr>
            <w:tcW w:w="638" w:type="dxa"/>
            <w:shd w:val="clear" w:color="auto" w:fill="D9D9D9" w:themeFill="background1" w:themeFillShade="D9"/>
          </w:tcPr>
          <w:p w:rsidR="00FB0A4C" w:rsidRPr="00EC56A2" w:rsidRDefault="00FB0A4C" w:rsidP="00A720AB">
            <w:pPr>
              <w:jc w:val="center"/>
              <w:rPr>
                <w:rFonts w:ascii="Times New Roman" w:hAnsi="Times New Roman" w:cs="Times New Roman"/>
                <w:b/>
                <w:sz w:val="24"/>
              </w:rPr>
            </w:pPr>
            <w:r w:rsidRPr="00EC56A2">
              <w:rPr>
                <w:rFonts w:ascii="Times New Roman" w:hAnsi="Times New Roman" w:cs="Times New Roman"/>
                <w:b/>
                <w:sz w:val="24"/>
              </w:rPr>
              <w:t>No</w:t>
            </w:r>
          </w:p>
        </w:tc>
        <w:tc>
          <w:tcPr>
            <w:tcW w:w="5320" w:type="dxa"/>
            <w:shd w:val="clear" w:color="auto" w:fill="D9D9D9" w:themeFill="background1" w:themeFillShade="D9"/>
          </w:tcPr>
          <w:p w:rsidR="00FB0A4C" w:rsidRPr="00EC56A2" w:rsidRDefault="00FB0A4C" w:rsidP="00A720AB">
            <w:pPr>
              <w:jc w:val="center"/>
              <w:rPr>
                <w:rFonts w:ascii="Times New Roman" w:hAnsi="Times New Roman" w:cs="Times New Roman"/>
                <w:b/>
                <w:sz w:val="24"/>
              </w:rPr>
            </w:pPr>
            <w:r w:rsidRPr="00EC56A2">
              <w:rPr>
                <w:rFonts w:ascii="Times New Roman" w:hAnsi="Times New Roman" w:cs="Times New Roman"/>
                <w:b/>
                <w:sz w:val="24"/>
              </w:rPr>
              <w:t>Description</w:t>
            </w:r>
          </w:p>
        </w:tc>
        <w:tc>
          <w:tcPr>
            <w:tcW w:w="763" w:type="dxa"/>
            <w:tcBorders>
              <w:right w:val="single" w:sz="4" w:space="0" w:color="auto"/>
            </w:tcBorders>
            <w:shd w:val="clear" w:color="auto" w:fill="D9D9D9" w:themeFill="background1" w:themeFillShade="D9"/>
          </w:tcPr>
          <w:p w:rsidR="00FB0A4C" w:rsidRPr="00EC56A2" w:rsidRDefault="00FB0A4C" w:rsidP="00A720AB">
            <w:pPr>
              <w:jc w:val="center"/>
              <w:rPr>
                <w:rFonts w:ascii="Times New Roman" w:hAnsi="Times New Roman" w:cs="Times New Roman"/>
                <w:b/>
                <w:sz w:val="24"/>
              </w:rPr>
            </w:pPr>
            <w:proofErr w:type="spellStart"/>
            <w:r w:rsidRPr="00EC56A2">
              <w:rPr>
                <w:rFonts w:ascii="Times New Roman" w:hAnsi="Times New Roman" w:cs="Times New Roman"/>
                <w:b/>
                <w:sz w:val="24"/>
              </w:rPr>
              <w:t>Qty</w:t>
            </w:r>
            <w:proofErr w:type="spellEnd"/>
          </w:p>
        </w:tc>
        <w:tc>
          <w:tcPr>
            <w:tcW w:w="1417" w:type="dxa"/>
            <w:tcBorders>
              <w:left w:val="single" w:sz="4" w:space="0" w:color="auto"/>
            </w:tcBorders>
            <w:shd w:val="clear" w:color="auto" w:fill="D9D9D9" w:themeFill="background1" w:themeFillShade="D9"/>
          </w:tcPr>
          <w:p w:rsidR="00FB0A4C" w:rsidRPr="00EC56A2" w:rsidRDefault="00FB0A4C" w:rsidP="00A720AB">
            <w:pPr>
              <w:jc w:val="center"/>
              <w:rPr>
                <w:rFonts w:ascii="Times New Roman" w:hAnsi="Times New Roman" w:cs="Times New Roman"/>
                <w:b/>
                <w:sz w:val="24"/>
              </w:rPr>
            </w:pPr>
            <w:r w:rsidRPr="00EC56A2">
              <w:rPr>
                <w:rFonts w:ascii="Times New Roman" w:hAnsi="Times New Roman" w:cs="Times New Roman"/>
                <w:b/>
                <w:sz w:val="24"/>
              </w:rPr>
              <w:t>Amount</w:t>
            </w:r>
          </w:p>
        </w:tc>
      </w:tr>
      <w:tr w:rsidR="00FB0A4C" w:rsidRPr="00EC56A2" w:rsidTr="00A720AB">
        <w:tc>
          <w:tcPr>
            <w:tcW w:w="638" w:type="dxa"/>
          </w:tcPr>
          <w:p w:rsidR="00FB0A4C" w:rsidRPr="00EC56A2" w:rsidRDefault="00FB0A4C" w:rsidP="00A720AB">
            <w:pPr>
              <w:jc w:val="center"/>
              <w:rPr>
                <w:rFonts w:ascii="Times New Roman" w:hAnsi="Times New Roman" w:cs="Times New Roman"/>
                <w:sz w:val="24"/>
              </w:rPr>
            </w:pPr>
            <w:r w:rsidRPr="00EC56A2">
              <w:rPr>
                <w:rFonts w:ascii="Times New Roman" w:hAnsi="Times New Roman" w:cs="Times New Roman"/>
                <w:sz w:val="24"/>
              </w:rPr>
              <w:t>1</w:t>
            </w:r>
          </w:p>
        </w:tc>
        <w:tc>
          <w:tcPr>
            <w:tcW w:w="5320" w:type="dxa"/>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 xml:space="preserve">Blankets </w:t>
            </w:r>
          </w:p>
        </w:tc>
        <w:tc>
          <w:tcPr>
            <w:tcW w:w="763" w:type="dxa"/>
            <w:tcBorders>
              <w:righ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80</w:t>
            </w:r>
          </w:p>
        </w:tc>
        <w:tc>
          <w:tcPr>
            <w:tcW w:w="1417" w:type="dxa"/>
            <w:tcBorders>
              <w:lef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80,000</w:t>
            </w:r>
          </w:p>
        </w:tc>
      </w:tr>
      <w:tr w:rsidR="00FB0A4C" w:rsidRPr="00EC56A2" w:rsidTr="00A720AB">
        <w:tc>
          <w:tcPr>
            <w:tcW w:w="638" w:type="dxa"/>
          </w:tcPr>
          <w:p w:rsidR="00FB0A4C" w:rsidRPr="00EC56A2" w:rsidRDefault="00FB0A4C" w:rsidP="00A720AB">
            <w:pPr>
              <w:jc w:val="center"/>
              <w:rPr>
                <w:rFonts w:ascii="Times New Roman" w:hAnsi="Times New Roman" w:cs="Times New Roman"/>
                <w:sz w:val="24"/>
              </w:rPr>
            </w:pPr>
            <w:r w:rsidRPr="00EC56A2">
              <w:rPr>
                <w:rFonts w:ascii="Times New Roman" w:hAnsi="Times New Roman" w:cs="Times New Roman"/>
                <w:sz w:val="24"/>
              </w:rPr>
              <w:t>2</w:t>
            </w:r>
          </w:p>
        </w:tc>
        <w:tc>
          <w:tcPr>
            <w:tcW w:w="5320" w:type="dxa"/>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 xml:space="preserve"> Foods </w:t>
            </w:r>
          </w:p>
        </w:tc>
        <w:tc>
          <w:tcPr>
            <w:tcW w:w="763" w:type="dxa"/>
            <w:tcBorders>
              <w:righ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80</w:t>
            </w:r>
          </w:p>
        </w:tc>
        <w:tc>
          <w:tcPr>
            <w:tcW w:w="1417" w:type="dxa"/>
            <w:tcBorders>
              <w:lef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80,000</w:t>
            </w:r>
          </w:p>
        </w:tc>
      </w:tr>
      <w:tr w:rsidR="00FB0A4C" w:rsidRPr="00EC56A2" w:rsidTr="00A720AB">
        <w:tc>
          <w:tcPr>
            <w:tcW w:w="638" w:type="dxa"/>
          </w:tcPr>
          <w:p w:rsidR="00FB0A4C" w:rsidRPr="00EC56A2" w:rsidRDefault="00FB0A4C" w:rsidP="00A720AB">
            <w:pPr>
              <w:jc w:val="center"/>
              <w:rPr>
                <w:rFonts w:ascii="Times New Roman" w:hAnsi="Times New Roman" w:cs="Times New Roman"/>
                <w:sz w:val="24"/>
              </w:rPr>
            </w:pPr>
            <w:r w:rsidRPr="00EC56A2">
              <w:rPr>
                <w:rFonts w:ascii="Times New Roman" w:hAnsi="Times New Roman" w:cs="Times New Roman"/>
                <w:sz w:val="24"/>
              </w:rPr>
              <w:t>3</w:t>
            </w:r>
          </w:p>
        </w:tc>
        <w:tc>
          <w:tcPr>
            <w:tcW w:w="5320" w:type="dxa"/>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 xml:space="preserve"> Other cloths </w:t>
            </w:r>
          </w:p>
        </w:tc>
        <w:tc>
          <w:tcPr>
            <w:tcW w:w="763" w:type="dxa"/>
            <w:tcBorders>
              <w:righ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80</w:t>
            </w:r>
          </w:p>
        </w:tc>
        <w:tc>
          <w:tcPr>
            <w:tcW w:w="1417" w:type="dxa"/>
            <w:tcBorders>
              <w:left w:val="single" w:sz="4" w:space="0" w:color="auto"/>
            </w:tcBorders>
          </w:tcPr>
          <w:p w:rsidR="00FB0A4C" w:rsidRPr="00EC56A2" w:rsidRDefault="00FB0A4C" w:rsidP="00A720AB">
            <w:pPr>
              <w:jc w:val="both"/>
              <w:rPr>
                <w:rFonts w:ascii="Times New Roman" w:hAnsi="Times New Roman" w:cs="Times New Roman"/>
                <w:sz w:val="24"/>
              </w:rPr>
            </w:pPr>
            <w:r w:rsidRPr="00EC56A2">
              <w:rPr>
                <w:rFonts w:ascii="Times New Roman" w:hAnsi="Times New Roman" w:cs="Times New Roman"/>
                <w:sz w:val="24"/>
              </w:rPr>
              <w:t xml:space="preserve"> 80,000</w:t>
            </w:r>
          </w:p>
        </w:tc>
      </w:tr>
      <w:tr w:rsidR="00FB0A4C" w:rsidRPr="00EC56A2" w:rsidTr="00A720AB">
        <w:tc>
          <w:tcPr>
            <w:tcW w:w="638" w:type="dxa"/>
            <w:shd w:val="clear" w:color="auto" w:fill="D9D9D9" w:themeFill="background1" w:themeFillShade="D9"/>
          </w:tcPr>
          <w:p w:rsidR="00FB0A4C" w:rsidRPr="00EC56A2" w:rsidRDefault="00FB0A4C" w:rsidP="00A720AB">
            <w:pPr>
              <w:jc w:val="center"/>
              <w:rPr>
                <w:rFonts w:ascii="Times New Roman" w:hAnsi="Times New Roman" w:cs="Times New Roman"/>
                <w:sz w:val="24"/>
              </w:rPr>
            </w:pPr>
          </w:p>
        </w:tc>
        <w:tc>
          <w:tcPr>
            <w:tcW w:w="5320" w:type="dxa"/>
            <w:shd w:val="clear" w:color="auto" w:fill="D9D9D9" w:themeFill="background1" w:themeFillShade="D9"/>
          </w:tcPr>
          <w:p w:rsidR="00FB0A4C" w:rsidRPr="00EC56A2" w:rsidRDefault="00FB0A4C" w:rsidP="00A720AB">
            <w:pPr>
              <w:jc w:val="center"/>
              <w:rPr>
                <w:rFonts w:ascii="Times New Roman" w:hAnsi="Times New Roman" w:cs="Times New Roman"/>
                <w:sz w:val="24"/>
              </w:rPr>
            </w:pPr>
            <w:r w:rsidRPr="00EC56A2">
              <w:rPr>
                <w:rFonts w:ascii="Times New Roman" w:hAnsi="Times New Roman" w:cs="Times New Roman"/>
                <w:sz w:val="24"/>
              </w:rPr>
              <w:t>Total</w:t>
            </w:r>
          </w:p>
        </w:tc>
        <w:tc>
          <w:tcPr>
            <w:tcW w:w="763" w:type="dxa"/>
            <w:tcBorders>
              <w:right w:val="single" w:sz="4" w:space="0" w:color="auto"/>
            </w:tcBorders>
            <w:shd w:val="clear" w:color="auto" w:fill="D9D9D9" w:themeFill="background1" w:themeFillShade="D9"/>
          </w:tcPr>
          <w:p w:rsidR="00FB0A4C" w:rsidRPr="00EC56A2" w:rsidRDefault="00FB0A4C" w:rsidP="00A720AB">
            <w:pPr>
              <w:jc w:val="center"/>
              <w:rPr>
                <w:rFonts w:ascii="Times New Roman" w:hAnsi="Times New Roman" w:cs="Times New Roman"/>
                <w:sz w:val="24"/>
              </w:rPr>
            </w:pPr>
          </w:p>
        </w:tc>
        <w:tc>
          <w:tcPr>
            <w:tcW w:w="1417" w:type="dxa"/>
            <w:tcBorders>
              <w:left w:val="single" w:sz="4" w:space="0" w:color="auto"/>
            </w:tcBorders>
            <w:shd w:val="clear" w:color="auto" w:fill="D9D9D9" w:themeFill="background1" w:themeFillShade="D9"/>
          </w:tcPr>
          <w:p w:rsidR="00FB0A4C" w:rsidRPr="00EC56A2" w:rsidRDefault="00FB0A4C" w:rsidP="00A720AB">
            <w:pPr>
              <w:jc w:val="center"/>
              <w:rPr>
                <w:rFonts w:ascii="Times New Roman" w:hAnsi="Times New Roman" w:cs="Times New Roman"/>
                <w:sz w:val="24"/>
              </w:rPr>
            </w:pPr>
            <w:r w:rsidRPr="00EC56A2">
              <w:rPr>
                <w:rFonts w:ascii="Times New Roman" w:hAnsi="Times New Roman" w:cs="Times New Roman"/>
                <w:sz w:val="24"/>
              </w:rPr>
              <w:t>24</w:t>
            </w:r>
            <w:r w:rsidRPr="00EC56A2">
              <w:rPr>
                <w:rFonts w:ascii="Times New Roman" w:hAnsi="Times New Roman" w:cs="Times New Roman"/>
                <w:sz w:val="24"/>
              </w:rPr>
              <w:fldChar w:fldCharType="begin"/>
            </w:r>
            <w:r w:rsidRPr="00EC56A2">
              <w:rPr>
                <w:rFonts w:ascii="Times New Roman" w:hAnsi="Times New Roman" w:cs="Times New Roman"/>
                <w:sz w:val="24"/>
              </w:rPr>
              <w:instrText xml:space="preserve"> =SUM(ABOVE) </w:instrText>
            </w:r>
            <w:r w:rsidRPr="00EC56A2">
              <w:rPr>
                <w:rFonts w:ascii="Times New Roman" w:hAnsi="Times New Roman" w:cs="Times New Roman"/>
                <w:sz w:val="24"/>
              </w:rPr>
              <w:fldChar w:fldCharType="separate"/>
            </w:r>
            <w:r w:rsidRPr="00EC56A2">
              <w:rPr>
                <w:rFonts w:ascii="Times New Roman" w:hAnsi="Times New Roman" w:cs="Times New Roman"/>
                <w:noProof/>
                <w:sz w:val="24"/>
              </w:rPr>
              <w:t>,000</w:t>
            </w:r>
            <w:r w:rsidRPr="00EC56A2">
              <w:rPr>
                <w:rFonts w:ascii="Times New Roman" w:hAnsi="Times New Roman" w:cs="Times New Roman"/>
                <w:sz w:val="24"/>
              </w:rPr>
              <w:fldChar w:fldCharType="end"/>
            </w:r>
          </w:p>
        </w:tc>
      </w:tr>
    </w:tbl>
    <w:p w:rsidR="00FB0A4C" w:rsidRPr="00651D91" w:rsidRDefault="00FB0A4C" w:rsidP="00FB0A4C">
      <w:pPr>
        <w:spacing w:line="360" w:lineRule="auto"/>
        <w:jc w:val="both"/>
        <w:rPr>
          <w:rFonts w:ascii="Times New Roman" w:hAnsi="Times New Roman" w:cs="Times New Roman"/>
          <w:sz w:val="24"/>
          <w:szCs w:val="24"/>
        </w:rPr>
      </w:pPr>
    </w:p>
    <w:p w:rsidR="00FB0A4C" w:rsidRPr="00651D91" w:rsidRDefault="00FB0A4C" w:rsidP="00FB0A4C">
      <w:pPr>
        <w:spacing w:line="360" w:lineRule="auto"/>
        <w:jc w:val="both"/>
        <w:rPr>
          <w:rFonts w:ascii="Times New Roman" w:hAnsi="Times New Roman" w:cs="Times New Roman"/>
          <w:sz w:val="24"/>
          <w:szCs w:val="24"/>
        </w:rPr>
      </w:pPr>
    </w:p>
    <w:p w:rsidR="00FB0A4C" w:rsidRDefault="00FB0A4C" w:rsidP="00FB0A4C">
      <w:pPr>
        <w:pStyle w:val="NormalWeb"/>
        <w:spacing w:line="360" w:lineRule="auto"/>
        <w:jc w:val="both"/>
      </w:pPr>
    </w:p>
    <w:p w:rsidR="00892716" w:rsidRDefault="00FB0A4C" w:rsidP="00FB0A4C">
      <w:pPr>
        <w:spacing w:line="360" w:lineRule="auto"/>
        <w:jc w:val="both"/>
      </w:pPr>
    </w:p>
    <w:sectPr w:rsidR="00892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4C"/>
    <w:rsid w:val="00DD244C"/>
    <w:rsid w:val="00E3480C"/>
    <w:rsid w:val="00FB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A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0A4C"/>
    <w:rPr>
      <w:color w:val="0000FF" w:themeColor="hyperlink"/>
      <w:u w:val="single"/>
    </w:rPr>
  </w:style>
  <w:style w:type="table" w:styleId="TableGrid">
    <w:name w:val="Table Grid"/>
    <w:basedOn w:val="TableNormal"/>
    <w:uiPriority w:val="39"/>
    <w:rsid w:val="00FB0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A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0A4C"/>
    <w:rPr>
      <w:color w:val="0000FF" w:themeColor="hyperlink"/>
      <w:u w:val="single"/>
    </w:rPr>
  </w:style>
  <w:style w:type="table" w:styleId="TableGrid">
    <w:name w:val="Table Grid"/>
    <w:basedOn w:val="TableNormal"/>
    <w:uiPriority w:val="39"/>
    <w:rsid w:val="00FB0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40225">
      <w:bodyDiv w:val="1"/>
      <w:marLeft w:val="0"/>
      <w:marRight w:val="0"/>
      <w:marTop w:val="0"/>
      <w:marBottom w:val="0"/>
      <w:divBdr>
        <w:top w:val="none" w:sz="0" w:space="0" w:color="auto"/>
        <w:left w:val="none" w:sz="0" w:space="0" w:color="auto"/>
        <w:bottom w:val="none" w:sz="0" w:space="0" w:color="auto"/>
        <w:right w:val="none" w:sz="0" w:space="0" w:color="auto"/>
      </w:divBdr>
      <w:divsChild>
        <w:div w:id="1266813534">
          <w:marLeft w:val="0"/>
          <w:marRight w:val="0"/>
          <w:marTop w:val="0"/>
          <w:marBottom w:val="0"/>
          <w:divBdr>
            <w:top w:val="none" w:sz="0" w:space="0" w:color="auto"/>
            <w:left w:val="none" w:sz="0" w:space="0" w:color="auto"/>
            <w:bottom w:val="none" w:sz="0" w:space="0" w:color="auto"/>
            <w:right w:val="none" w:sz="0" w:space="0" w:color="auto"/>
          </w:divBdr>
          <w:divsChild>
            <w:div w:id="1199050094">
              <w:marLeft w:val="0"/>
              <w:marRight w:val="0"/>
              <w:marTop w:val="0"/>
              <w:marBottom w:val="0"/>
              <w:divBdr>
                <w:top w:val="none" w:sz="0" w:space="0" w:color="auto"/>
                <w:left w:val="none" w:sz="0" w:space="0" w:color="auto"/>
                <w:bottom w:val="none" w:sz="0" w:space="0" w:color="auto"/>
                <w:right w:val="none" w:sz="0" w:space="0" w:color="auto"/>
              </w:divBdr>
              <w:divsChild>
                <w:div w:id="14526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balgiv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2024-01-18T06:46:00Z</dcterms:created>
  <dcterms:modified xsi:type="dcterms:W3CDTF">2024-01-18T06:49:00Z</dcterms:modified>
</cp:coreProperties>
</file>